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1AC163" w14:textId="536B7922" w:rsidR="00101FDB" w:rsidRPr="00101FDB" w:rsidRDefault="00101FDB" w:rsidP="00101FDB">
      <w:pPr>
        <w:autoSpaceDE/>
        <w:jc w:val="right"/>
        <w:rPr>
          <w:rFonts w:ascii="Times New Roman" w:eastAsia="Times New Roman" w:hAnsi="Times New Roman"/>
          <w:i/>
          <w:sz w:val="24"/>
          <w:szCs w:val="24"/>
          <w:lang w:val="ro-RO"/>
        </w:rPr>
      </w:pPr>
      <w:r w:rsidRPr="00101FDB"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  <w:lang w:val="ro-RO"/>
        </w:rPr>
        <w:t>Anexa nr. 2 (Anexa nr. 2b la Hotărârea Guvernului nr. 637/2023)</w:t>
      </w:r>
      <w:r w:rsidRPr="00101FDB">
        <w:rPr>
          <w:rFonts w:ascii="Times New Roman" w:eastAsia="Times New Roman" w:hAnsi="Times New Roman"/>
          <w:bCs/>
          <w:i/>
          <w:vanish/>
          <w:sz w:val="24"/>
          <w:szCs w:val="24"/>
          <w:shd w:val="clear" w:color="auto" w:fill="FFFFFF"/>
          <w:lang w:val="ro-RO"/>
        </w:rPr>
        <w:t>ANEXA 2b</w:t>
      </w:r>
    </w:p>
    <w:p w14:paraId="2924345E" w14:textId="77777777" w:rsidR="00C2498C" w:rsidRPr="00101FDB" w:rsidRDefault="00C2498C">
      <w:pPr>
        <w:autoSpaceDE/>
        <w:autoSpaceDN/>
        <w:jc w:val="both"/>
        <w:rPr>
          <w:rFonts w:eastAsia="Times New Roman"/>
          <w:color w:val="000000"/>
          <w:sz w:val="20"/>
          <w:szCs w:val="20"/>
          <w:lang w:val="ro-RO"/>
        </w:rPr>
      </w:pPr>
    </w:p>
    <w:p w14:paraId="57C78536" w14:textId="77777777" w:rsidR="00C2498C" w:rsidRPr="00101FDB" w:rsidRDefault="00C2498C">
      <w:pPr>
        <w:autoSpaceDE/>
        <w:autoSpaceDN/>
        <w:jc w:val="both"/>
        <w:rPr>
          <w:rFonts w:eastAsia="Times New Roman"/>
          <w:color w:val="000000"/>
          <w:sz w:val="20"/>
          <w:szCs w:val="20"/>
          <w:lang w:val="ro-RO"/>
        </w:rPr>
      </w:pPr>
    </w:p>
    <w:p w14:paraId="3C4C297D" w14:textId="26F3CB3B" w:rsidR="00C2498C" w:rsidRPr="00101FDB" w:rsidRDefault="009C6743" w:rsidP="00C2498C">
      <w:pPr>
        <w:autoSpaceDE/>
        <w:autoSpaceDN/>
        <w:jc w:val="both"/>
        <w:rPr>
          <w:rFonts w:eastAsia="Times New Roman"/>
          <w:color w:val="000000"/>
          <w:sz w:val="20"/>
          <w:szCs w:val="20"/>
          <w:lang w:val="ro-RO"/>
        </w:rPr>
      </w:pPr>
      <w:r w:rsidRPr="00101FDB">
        <w:rPr>
          <w:rFonts w:eastAsia="Times New Roman"/>
          <w:b/>
          <w:bCs/>
          <w:color w:val="000000"/>
          <w:sz w:val="20"/>
          <w:szCs w:val="20"/>
          <w:lang w:val="ro-RO"/>
        </w:rPr>
        <w:t>Î</w:t>
      </w:r>
      <w:r w:rsidR="00C2498C" w:rsidRPr="00101FDB">
        <w:rPr>
          <w:rFonts w:eastAsia="Times New Roman"/>
          <w:b/>
          <w:bCs/>
          <w:color w:val="000000"/>
          <w:sz w:val="20"/>
          <w:szCs w:val="20"/>
          <w:lang w:val="ro-RO"/>
        </w:rPr>
        <w:t>n aceast</w:t>
      </w:r>
      <w:r w:rsidRPr="00101FDB">
        <w:rPr>
          <w:rFonts w:eastAsia="Times New Roman"/>
          <w:b/>
          <w:bCs/>
          <w:color w:val="000000"/>
          <w:sz w:val="20"/>
          <w:szCs w:val="20"/>
          <w:lang w:val="ro-RO"/>
        </w:rPr>
        <w:t>ă</w:t>
      </w:r>
      <w:r w:rsidR="00C2498C" w:rsidRPr="00101FDB">
        <w:rPr>
          <w:rFonts w:eastAsia="Times New Roman"/>
          <w:b/>
          <w:bCs/>
          <w:color w:val="000000"/>
          <w:sz w:val="20"/>
          <w:szCs w:val="20"/>
          <w:lang w:val="ro-RO"/>
        </w:rPr>
        <w:t xml:space="preserve"> anexă</w:t>
      </w:r>
      <w:r w:rsidR="00800D41" w:rsidRPr="00101FDB">
        <w:rPr>
          <w:rFonts w:eastAsia="Times New Roman"/>
          <w:b/>
          <w:bCs/>
          <w:color w:val="000000"/>
          <w:sz w:val="20"/>
          <w:szCs w:val="20"/>
          <w:lang w:val="ro-RO"/>
        </w:rPr>
        <w:t xml:space="preserve"> </w:t>
      </w:r>
      <w:r w:rsidR="00C2498C" w:rsidRPr="00101FDB">
        <w:rPr>
          <w:rFonts w:eastAsia="Times New Roman"/>
          <w:b/>
          <w:bCs/>
          <w:color w:val="000000"/>
          <w:sz w:val="20"/>
          <w:szCs w:val="20"/>
          <w:lang w:val="ro-RO"/>
        </w:rPr>
        <w:t>sunt prezentate formulele de calcul pentru indicatorii nefinanciari (formulele de calcul pentru indicatorii financiari sunt in anexa 2a, la acest material)</w:t>
      </w:r>
    </w:p>
    <w:p w14:paraId="494E001D" w14:textId="77777777" w:rsidR="00C2498C" w:rsidRPr="00101FDB" w:rsidRDefault="00C2498C">
      <w:pPr>
        <w:autoSpaceDE/>
        <w:autoSpaceDN/>
        <w:jc w:val="both"/>
        <w:rPr>
          <w:rFonts w:eastAsia="Times New Roman"/>
          <w:color w:val="000000"/>
          <w:sz w:val="20"/>
          <w:szCs w:val="20"/>
          <w:lang w:val="ro-RO"/>
        </w:rPr>
      </w:pPr>
    </w:p>
    <w:tbl>
      <w:tblPr>
        <w:tblW w:w="0" w:type="auto"/>
        <w:tblCellSpacing w:w="15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562"/>
        <w:gridCol w:w="551"/>
        <w:gridCol w:w="30"/>
        <w:gridCol w:w="2092"/>
        <w:gridCol w:w="2240"/>
        <w:gridCol w:w="1103"/>
        <w:gridCol w:w="4033"/>
      </w:tblGrid>
      <w:tr w:rsidR="004D0601" w:rsidRPr="00101FDB" w14:paraId="5DA5B556" w14:textId="77777777" w:rsidTr="00AF261A">
        <w:trPr>
          <w:gridBefore w:val="1"/>
          <w:gridAfter w:val="5"/>
          <w:wAfter w:w="10501" w:type="dxa"/>
          <w:tblCellSpacing w:w="15" w:type="dxa"/>
        </w:trPr>
        <w:tc>
          <w:tcPr>
            <w:tcW w:w="0" w:type="auto"/>
          </w:tcPr>
          <w:p w14:paraId="3BB2BDD1" w14:textId="281E8ADD" w:rsidR="00AF261A" w:rsidRPr="00101FDB" w:rsidRDefault="00AF261A" w:rsidP="00AF261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</w:tcPr>
          <w:p w14:paraId="5328C1F5" w14:textId="7A3D98DF" w:rsidR="00AF261A" w:rsidRPr="00101FDB" w:rsidRDefault="00AF261A" w:rsidP="00AF261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F84264" w:rsidRPr="00101FDB" w14:paraId="3A4D1D0D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1B518" w14:textId="77777777" w:rsidR="00AF261A" w:rsidRPr="00101FDB" w:rsidRDefault="00AF261A" w:rsidP="009103B6">
            <w:pPr>
              <w:pStyle w:val="spar1"/>
              <w:rPr>
                <w:b/>
                <w:bCs/>
                <w:color w:val="000000"/>
                <w:lang w:val="ro-RO"/>
              </w:rPr>
            </w:pPr>
            <w:r w:rsidRPr="00101FDB">
              <w:rPr>
                <w:b/>
                <w:bCs/>
                <w:color w:val="000000"/>
                <w:lang w:val="ro-RO"/>
              </w:rPr>
              <w:t>Categorie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D44F1" w14:textId="77777777" w:rsidR="00AF261A" w:rsidRPr="00101FDB" w:rsidRDefault="00AF261A" w:rsidP="009103B6">
            <w:pPr>
              <w:pStyle w:val="spar1"/>
              <w:rPr>
                <w:b/>
                <w:bCs/>
                <w:color w:val="000000"/>
                <w:lang w:val="ro-RO"/>
              </w:rPr>
            </w:pPr>
            <w:r w:rsidRPr="00101FDB">
              <w:rPr>
                <w:b/>
                <w:bCs/>
                <w:color w:val="000000"/>
                <w:lang w:val="ro-RO"/>
              </w:rPr>
              <w:t>Indicatori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AA89F" w14:textId="77777777" w:rsidR="00AF261A" w:rsidRPr="00101FDB" w:rsidRDefault="00AF261A" w:rsidP="009103B6">
            <w:pPr>
              <w:pStyle w:val="spar1"/>
              <w:rPr>
                <w:b/>
                <w:bCs/>
                <w:color w:val="000000"/>
                <w:lang w:val="ro-RO"/>
              </w:rPr>
            </w:pPr>
            <w:r w:rsidRPr="00101FDB">
              <w:rPr>
                <w:b/>
                <w:bCs/>
                <w:color w:val="000000"/>
                <w:lang w:val="ro-RO"/>
              </w:rPr>
              <w:t>Date primare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391C8" w14:textId="77777777" w:rsidR="00AF261A" w:rsidRPr="00101FDB" w:rsidRDefault="00AF261A" w:rsidP="009103B6">
            <w:pPr>
              <w:pStyle w:val="spar1"/>
              <w:rPr>
                <w:b/>
                <w:bCs/>
                <w:color w:val="000000"/>
                <w:lang w:val="ro-RO"/>
              </w:rPr>
            </w:pPr>
            <w:r w:rsidRPr="00101FDB">
              <w:rPr>
                <w:b/>
                <w:bCs/>
                <w:color w:val="000000"/>
                <w:lang w:val="ro-RO"/>
              </w:rPr>
              <w:t>U.M.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CA46E" w14:textId="77777777" w:rsidR="00AF261A" w:rsidRPr="00101FDB" w:rsidRDefault="00AF261A" w:rsidP="009103B6">
            <w:pPr>
              <w:pStyle w:val="spar1"/>
              <w:rPr>
                <w:b/>
                <w:bCs/>
                <w:color w:val="000000"/>
                <w:lang w:val="ro-RO"/>
              </w:rPr>
            </w:pPr>
            <w:r w:rsidRPr="00101FDB">
              <w:rPr>
                <w:b/>
                <w:bCs/>
                <w:color w:val="000000"/>
                <w:lang w:val="ro-RO"/>
              </w:rPr>
              <w:t>Formula</w:t>
            </w:r>
          </w:p>
        </w:tc>
      </w:tr>
      <w:tr w:rsidR="00F84264" w:rsidRPr="00101FDB" w14:paraId="40EB83B6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056C3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Indicatori de mediu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D44E9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Consumul de energie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9A930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Consum energie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C6ABB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MWh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76F09" w14:textId="77777777" w:rsidR="00AF261A" w:rsidRPr="00101FDB" w:rsidRDefault="00AF261A" w:rsidP="009103B6">
            <w:pPr>
              <w:rPr>
                <w:color w:val="000000"/>
                <w:lang w:val="ro-RO"/>
              </w:rPr>
            </w:pPr>
          </w:p>
        </w:tc>
      </w:tr>
      <w:tr w:rsidR="00F84264" w:rsidRPr="00101FDB" w14:paraId="7D2FF859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8B5FC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A485C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Emisiile din domeniul de aplicare 1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6B3A9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Emisiile generate direct de instalațiile companiei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723C1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tone CO_2e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366EB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Emisiile din domeniul de aplicare 1_e = emisiile direct generate de instalațiile companiei_t</w:t>
            </w:r>
          </w:p>
        </w:tc>
      </w:tr>
      <w:tr w:rsidR="00F84264" w:rsidRPr="00101FDB" w14:paraId="3AB47E9A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76EDF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53EE6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Emisiile din domeniul de aplicare 2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AC7E3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Emisiile indirect generate rezultate în urma producerii energiei achiziționate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30A22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tone CO_2e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89CCE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Emisiile din domeniul de aplicare 2_t = emisiile indirect generate provenite din achiziția energiei_t</w:t>
            </w:r>
          </w:p>
        </w:tc>
      </w:tr>
      <w:tr w:rsidR="00F84264" w:rsidRPr="00101FDB" w14:paraId="7D2D0273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9A5C6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Indicatori referitori la clienți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96FE1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Rata de retenție a clienților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5C122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 total de clienți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309C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%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8A2DE" w14:textId="52474310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Rata de retenție a clienților_t = (număr de clienți_t – număr de clienți noi_t)/număr de clienți_t-1</w:t>
            </w:r>
            <w:r w:rsidR="001E570B" w:rsidRPr="00101FDB">
              <w:rPr>
                <w:color w:val="000000"/>
                <w:lang w:val="ro-RO"/>
              </w:rPr>
              <w:t>) *100</w:t>
            </w:r>
          </w:p>
        </w:tc>
      </w:tr>
      <w:tr w:rsidR="00F84264" w:rsidRPr="00101FDB" w14:paraId="79035C24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3F3E2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FF38C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F48E1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 de clienți noi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BC5DD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3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9F3B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</w:tr>
      <w:tr w:rsidR="00F84264" w:rsidRPr="00101FDB" w14:paraId="2BE69159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2DCBF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B550A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bookmarkStart w:id="0" w:name="_Hlk208570868"/>
            <w:r w:rsidRPr="00101FDB">
              <w:rPr>
                <w:color w:val="000000"/>
                <w:lang w:val="ro-RO"/>
              </w:rPr>
              <w:t>Scorul satisfacției clienților</w:t>
            </w:r>
            <w:bookmarkEnd w:id="0"/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A4FAD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Total număr evaluări de 4 și 5 obținute (5 este scor maxim)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F8108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%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5D9F0" w14:textId="5B92D6C0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 xml:space="preserve">Scor de satisfacție clienți_t = </w:t>
            </w:r>
            <w:r w:rsidR="001E570B" w:rsidRPr="00101FDB">
              <w:rPr>
                <w:color w:val="000000"/>
                <w:lang w:val="ro-RO"/>
              </w:rPr>
              <w:t>(</w:t>
            </w:r>
            <w:r w:rsidRPr="00101FDB">
              <w:rPr>
                <w:color w:val="000000"/>
                <w:lang w:val="ro-RO"/>
              </w:rPr>
              <w:t>total număr evaluări de 4 și 5_t/total număr evaluări_t</w:t>
            </w:r>
            <w:r w:rsidR="001E570B" w:rsidRPr="00101FDB">
              <w:rPr>
                <w:color w:val="000000"/>
                <w:lang w:val="ro-RO"/>
              </w:rPr>
              <w:t xml:space="preserve">) </w:t>
            </w:r>
            <w:r w:rsidR="0054712D" w:rsidRPr="00101FDB">
              <w:rPr>
                <w:color w:val="000000"/>
                <w:lang w:val="ro-RO"/>
              </w:rPr>
              <w:t>*100</w:t>
            </w:r>
          </w:p>
        </w:tc>
      </w:tr>
      <w:tr w:rsidR="00F84264" w:rsidRPr="00101FDB" w14:paraId="7F82CFCC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2CFE9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EE98C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279C7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Total număr evaluări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67993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3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2AB4E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</w:tr>
      <w:tr w:rsidR="00F84264" w:rsidRPr="00101FDB" w14:paraId="54F128DC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AC277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24BA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Cota de piață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4B0B5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Cifră de afaceri netă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C1859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%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EED45" w14:textId="555E930C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Cota de piață_t =</w:t>
            </w:r>
            <w:r w:rsidR="003C1613" w:rsidRPr="00101FDB">
              <w:rPr>
                <w:color w:val="000000"/>
                <w:lang w:val="ro-RO"/>
              </w:rPr>
              <w:t>(</w:t>
            </w:r>
            <w:r w:rsidRPr="00101FDB">
              <w:rPr>
                <w:color w:val="000000"/>
                <w:lang w:val="ro-RO"/>
              </w:rPr>
              <w:t xml:space="preserve"> Vânzări_t/Total vânzări industrie clasificată conform CAEN_t</w:t>
            </w:r>
            <w:r w:rsidR="003C1613" w:rsidRPr="00101FDB">
              <w:rPr>
                <w:color w:val="000000"/>
                <w:lang w:val="ro-RO"/>
              </w:rPr>
              <w:t>) *100</w:t>
            </w:r>
          </w:p>
        </w:tc>
      </w:tr>
      <w:tr w:rsidR="00F84264" w:rsidRPr="00101FDB" w14:paraId="4238BBC9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973FC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3723F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2C3B7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Sumă cifre de afaceri nete industrie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AFB61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3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A7F0C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</w:tr>
      <w:tr w:rsidR="00F84264" w:rsidRPr="00101FDB" w14:paraId="62D4C2A7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8F25A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Indicatori referitori la angajați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6227D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Numărul mediu de ore de formare per angajat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5ED4D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Total număr ore de formare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D7F48" w14:textId="2B45598B" w:rsidR="00AF261A" w:rsidRPr="00101FDB" w:rsidRDefault="00DC110E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8E4F7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 mediu de ore formare per angajat = Total număr de ore de formare_t/Număr total de angajați_t</w:t>
            </w:r>
          </w:p>
        </w:tc>
      </w:tr>
      <w:tr w:rsidR="00F84264" w:rsidRPr="00101FDB" w14:paraId="260CA488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C624D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3F174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29B94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Total număr angajați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7253A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3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C1634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</w:tr>
      <w:tr w:rsidR="00F84264" w:rsidRPr="00101FDB" w14:paraId="405FE037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0AE80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34E12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Instituirea unui sistem de siguranță a angajaților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7061F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Confirmarea instituirii sistemului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29739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DA/NU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035E1" w14:textId="77777777" w:rsidR="00AF261A" w:rsidRPr="00101FDB" w:rsidRDefault="00AF261A" w:rsidP="009103B6">
            <w:pPr>
              <w:rPr>
                <w:color w:val="000000"/>
                <w:lang w:val="ro-RO"/>
              </w:rPr>
            </w:pPr>
          </w:p>
        </w:tc>
      </w:tr>
      <w:tr w:rsidR="00F84264" w:rsidRPr="00101FDB" w14:paraId="27EB74D0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971E7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6F2E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Numărul de instruiri în materie de siguranță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CFD65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Numărul total de instruiri în materie de siguranță care s-au efectuat pe parcursul anului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1E2AE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228FF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 de instruiri în materie de siguranță_t = Numărul total de instruiri în materie de siguranță care s-au realizat pe parcursul anului</w:t>
            </w:r>
          </w:p>
        </w:tc>
      </w:tr>
      <w:tr w:rsidR="00F84264" w:rsidRPr="00101FDB" w14:paraId="056CC8AA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D0F8F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A89B6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Frecvența totală a vătămărilor înregistrate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1DDC3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 accidente înregistrate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56918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Frecvența sub formă de număr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D7CE2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Frecvența totală a accidentărilor înregistrate_t = (Numărul de accidente înregistrat_t * 1.000.000)/Numărul total de ore lucrate de către toți angajații_t</w:t>
            </w:r>
          </w:p>
        </w:tc>
      </w:tr>
      <w:tr w:rsidR="00F84264" w:rsidRPr="00101FDB" w14:paraId="233CAE68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ADE13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66135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C1416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 total de ore lucrate de către toți angajații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B3DC7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3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DAE17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</w:tr>
      <w:tr w:rsidR="00F84264" w:rsidRPr="00101FDB" w14:paraId="308226A6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8925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94793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Frecvența vătămărilor grave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BCB43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 accidente grave înregistrate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1A2BB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Frecvența sub formă de număr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CAE28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Frecvența accidentelor grave_t = (Numărul de accidente grave_t * 1.000.000)/Numărul total de ore lucrate de către toți angajații_t</w:t>
            </w:r>
          </w:p>
        </w:tc>
      </w:tr>
      <w:tr w:rsidR="00F84264" w:rsidRPr="00101FDB" w14:paraId="4E381479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17A5C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FDCEA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AA70B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 total de ore lucrate de către toți angajații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72703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3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08C02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</w:tr>
      <w:tr w:rsidR="00F84264" w:rsidRPr="00101FDB" w14:paraId="1B157D53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4770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Indicatori legați de inovare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F7997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Numărul de brevete per 100 de angajați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870E5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 brevet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FCF44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F47E3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 de brevete per 100 angajați_t = (Număr brevete_t * 100)/Numărul total angajați_t</w:t>
            </w:r>
          </w:p>
        </w:tc>
      </w:tr>
      <w:tr w:rsidR="00F84264" w:rsidRPr="00101FDB" w14:paraId="4F715632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592ED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2434D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C9319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 total angajați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13C6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3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79023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</w:tr>
      <w:tr w:rsidR="00F84264" w:rsidRPr="00101FDB" w14:paraId="41C3B859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4A0F1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F2328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Numărul de brevete în ultimii 3 ani la o sută de angajați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474B3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 brevet noi obținute în ultimii ani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DAF39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80064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Numărul de brevete din ultimii 3 ani per 100 de angajați_t = (Număr de noi brevete obținute în ultimii 3 ani_t *100)/Numărul total angajați_t</w:t>
            </w:r>
          </w:p>
        </w:tc>
      </w:tr>
      <w:tr w:rsidR="00F84264" w:rsidRPr="00101FDB" w14:paraId="640A24F8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3F4C5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1D327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E51BE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 total angajați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29FF2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3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ECA0C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</w:tr>
      <w:tr w:rsidR="00F84264" w:rsidRPr="00101FDB" w14:paraId="6C1563D9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92C9C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159CD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Ponderea vânzărilor de servicii și produse noi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EF480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Vânzări de servicii și produse noi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6A2F9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%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0771" w14:textId="7B5B8752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 xml:space="preserve">Ponderea vânzărilor de servicii și produse noi_t = </w:t>
            </w:r>
            <w:r w:rsidR="00B21278" w:rsidRPr="00101FDB">
              <w:rPr>
                <w:color w:val="000000"/>
                <w:lang w:val="ro-RO"/>
              </w:rPr>
              <w:t>(</w:t>
            </w:r>
            <w:r w:rsidRPr="00101FDB">
              <w:rPr>
                <w:color w:val="000000"/>
                <w:lang w:val="ro-RO"/>
              </w:rPr>
              <w:t>Vânzări de servicii și produse noi_t/Total vânzări_t</w:t>
            </w:r>
            <w:r w:rsidR="00B21278" w:rsidRPr="00101FDB">
              <w:rPr>
                <w:color w:val="000000"/>
                <w:lang w:val="ro-RO"/>
              </w:rPr>
              <w:t>) *100</w:t>
            </w:r>
          </w:p>
        </w:tc>
      </w:tr>
      <w:tr w:rsidR="00F84264" w:rsidRPr="00101FDB" w14:paraId="426A31C8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467F5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4D9AD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F9A1D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Total vânzări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82354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3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00A5C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</w:tr>
      <w:tr w:rsidR="00F84264" w:rsidRPr="00101FDB" w14:paraId="50C8CDB9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48EA2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Indicatori legați de guvernanța corporativă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0D9E8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Rata membrilor independenți în consiliul de administrație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47945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Numărul total de membri neexecutivi și independenți în consiliul de administrație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CF367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%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29E1E" w14:textId="4428962D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 xml:space="preserve">Rata membrilor independenți în consiliul de administrație_t = Numărul total de membri neexecutivi și independenți în consiliul de administrație_t/Numărul total de membri din consiliul de administrație_t </w:t>
            </w:r>
            <w:r w:rsidR="00DC110E" w:rsidRPr="00101FDB">
              <w:rPr>
                <w:color w:val="000000"/>
                <w:lang w:val="ro-RO"/>
              </w:rPr>
              <w:t>*100</w:t>
            </w:r>
          </w:p>
        </w:tc>
      </w:tr>
      <w:tr w:rsidR="00F84264" w:rsidRPr="00101FDB" w14:paraId="06CE57BF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91078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99267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245D8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Numărul total de membri din consiliul de administrație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E53CB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3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19B44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</w:tr>
      <w:tr w:rsidR="00F84264" w:rsidRPr="00101FDB" w14:paraId="3DFFB31D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8FE46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F8CA3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Ponderea componentelor fixe în remunerarea administratorilor executivi și a administratorilor neexecutivi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30E73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Valoarea componentelor fixe din pachetul de remunerare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E2553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%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AA8F0" w14:textId="6A8D273C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 xml:space="preserve">Ponderea componentelor fixe_t = </w:t>
            </w:r>
            <w:r w:rsidR="00B21278" w:rsidRPr="00101FDB">
              <w:rPr>
                <w:color w:val="000000"/>
                <w:lang w:val="ro-RO"/>
              </w:rPr>
              <w:t>(</w:t>
            </w:r>
            <w:r w:rsidRPr="00101FDB">
              <w:rPr>
                <w:color w:val="000000"/>
                <w:lang w:val="ro-RO"/>
              </w:rPr>
              <w:t>Valoarea componentelor fixe din pachetul de remunerare_t/Valoarea totală a pachetului de remunerare_t</w:t>
            </w:r>
            <w:r w:rsidR="00B21278" w:rsidRPr="00101FDB">
              <w:rPr>
                <w:color w:val="000000"/>
                <w:lang w:val="ro-RO"/>
              </w:rPr>
              <w:t>) *100</w:t>
            </w:r>
          </w:p>
        </w:tc>
      </w:tr>
      <w:tr w:rsidR="00F84264" w:rsidRPr="00101FDB" w14:paraId="0450EF8F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734A8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BD1B1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86A24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Valoarea totală a pachetului de remunerare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C9DD9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3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08591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</w:tr>
      <w:tr w:rsidR="00F84264" w:rsidRPr="00101FDB" w14:paraId="09321AC5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2F94C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2A2DC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Ponderea componentelor variabile în remunerarea administratorilor executivi și a administratorilor neexecutivi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ED25A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Valoarea componentelor variabile din pachetul de remunerare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8870E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%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2256A" w14:textId="1ACCB794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 xml:space="preserve">Ponderea componentelor variabile_t = </w:t>
            </w:r>
            <w:r w:rsidR="00B21278" w:rsidRPr="00101FDB">
              <w:rPr>
                <w:color w:val="000000"/>
                <w:lang w:val="ro-RO"/>
              </w:rPr>
              <w:t>(</w:t>
            </w:r>
            <w:r w:rsidRPr="00101FDB">
              <w:rPr>
                <w:color w:val="000000"/>
                <w:lang w:val="ro-RO"/>
              </w:rPr>
              <w:t>Valoarea componentelor variabile din pachetul de remunerare_t/Valoarea totală a pachetului de remunerare_t</w:t>
            </w:r>
            <w:r w:rsidR="00B21278" w:rsidRPr="00101FDB">
              <w:rPr>
                <w:color w:val="000000"/>
                <w:lang w:val="ro-RO"/>
              </w:rPr>
              <w:t>) *100</w:t>
            </w:r>
          </w:p>
        </w:tc>
      </w:tr>
      <w:tr w:rsidR="00F84264" w:rsidRPr="00101FDB" w14:paraId="15B49FA2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9A113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547DE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2F40E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Valoarea totală a pachetului de remunerare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97FDA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3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A7B9B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</w:tr>
      <w:tr w:rsidR="00F84264" w:rsidRPr="00101FDB" w14:paraId="101959F1" w14:textId="77777777" w:rsidTr="00D63B2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CD7C7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EDA89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Valoarea totală a pachetului de remunerare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2B388" w14:textId="77777777" w:rsidR="00AF261A" w:rsidRPr="00101FDB" w:rsidRDefault="00AF261A" w:rsidP="009103B6">
            <w:pPr>
              <w:rPr>
                <w:color w:val="000000"/>
                <w:lang w:val="ro-RO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E2254" w14:textId="1E890283" w:rsidR="00AF261A" w:rsidRPr="00101FDB" w:rsidRDefault="0007087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7B3A6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Valoarea totală a pachetului de remunerare_t_t</w:t>
            </w:r>
          </w:p>
          <w:p w14:paraId="5083DDEA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= Valoarea componentelor fixe din pachetul de remunerare</w:t>
            </w:r>
          </w:p>
          <w:p w14:paraId="6DE54873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+ Valoarea componentelor variabile din pachetul de remunerare_t</w:t>
            </w:r>
          </w:p>
        </w:tc>
      </w:tr>
      <w:tr w:rsidR="00F84264" w:rsidRPr="00101FDB" w14:paraId="668C62A8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C3743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0CE77" w14:textId="09322D5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 xml:space="preserve">Numărul </w:t>
            </w:r>
            <w:r w:rsidR="00796E48" w:rsidRPr="00101FDB">
              <w:rPr>
                <w:color w:val="000000"/>
                <w:lang w:val="ro-RO"/>
              </w:rPr>
              <w:t>ședințelor consiliulu de administrație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DB639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Numărul ședințelor consiliului de administrație susținute de-a lungul anului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48074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08A27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Numărul ședințelor consiliului de administrație_t</w:t>
            </w:r>
          </w:p>
          <w:p w14:paraId="1EC0D3DC" w14:textId="7AA7D22F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= Numărul ședințelor consiliului de administrație</w:t>
            </w:r>
            <w:r w:rsidR="00796E48" w:rsidRPr="00101FDB">
              <w:rPr>
                <w:color w:val="000000"/>
                <w:lang w:val="ro-RO"/>
              </w:rPr>
              <w:t>(consiliului de supraveghere)</w:t>
            </w:r>
            <w:r w:rsidRPr="00101FDB">
              <w:rPr>
                <w:color w:val="000000"/>
                <w:lang w:val="ro-RO"/>
              </w:rPr>
              <w:t xml:space="preserve"> susținute de-a lungul anului_t</w:t>
            </w:r>
          </w:p>
        </w:tc>
      </w:tr>
      <w:tr w:rsidR="00ED7005" w:rsidRPr="00101FDB" w14:paraId="1E0ED5CD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1A8AA" w14:textId="77777777" w:rsidR="00F84264" w:rsidRPr="00101FDB" w:rsidRDefault="00F84264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  <w:bookmarkStart w:id="1" w:name="_Hlk208569767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04F3B" w14:textId="65021C99" w:rsidR="00F84264" w:rsidRPr="00101FDB" w:rsidRDefault="00F84264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Rata de participare la ședințele consiliului de administrație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C8397" w14:textId="77777777" w:rsidR="00F84264" w:rsidRPr="00101FDB" w:rsidRDefault="00F84264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Numărul de participanți la reuniunile comitetului de conducere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12D0A" w14:textId="77777777" w:rsidR="00F84264" w:rsidRPr="00101FDB" w:rsidRDefault="00F84264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%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C9DC22" w14:textId="3EB653A7" w:rsidR="00F84264" w:rsidRPr="00101FDB" w:rsidRDefault="00F84264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Rata de participare la ședințețe consiliului de administrație_t = (Suma numerelor i=1 până la N_t)Numărul de participanți la ședințele consiliului de administrație (supraveghere)/Numărul total de membri ai consiliului de administrație (supraveghere)_t * N_t) *100</w:t>
            </w:r>
          </w:p>
        </w:tc>
      </w:tr>
      <w:bookmarkEnd w:id="1"/>
      <w:tr w:rsidR="00ED7005" w:rsidRPr="00101FDB" w14:paraId="522F79BB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CDDF5" w14:textId="77777777" w:rsidR="00F84264" w:rsidRPr="00101FDB" w:rsidRDefault="00F84264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BDA97" w14:textId="77777777" w:rsidR="00F84264" w:rsidRPr="00101FDB" w:rsidRDefault="00F84264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DC3DA" w14:textId="77777777" w:rsidR="00F84264" w:rsidRPr="00101FDB" w:rsidRDefault="00F84264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Numărul total de membri ai consiliului de conducere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F3260" w14:textId="77777777" w:rsidR="00F84264" w:rsidRPr="00101FDB" w:rsidRDefault="00F84264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39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C5ED8" w14:textId="77777777" w:rsidR="00F84264" w:rsidRPr="00101FDB" w:rsidRDefault="00F84264" w:rsidP="009103B6">
            <w:pPr>
              <w:rPr>
                <w:color w:val="000000"/>
                <w:lang w:val="ro-RO"/>
              </w:rPr>
            </w:pPr>
          </w:p>
        </w:tc>
      </w:tr>
      <w:tr w:rsidR="00F84264" w:rsidRPr="00101FDB" w14:paraId="583A22ED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DDF0B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24FE2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F755C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Numărul de reuniuni ale comitetului de conducere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61640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Număr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06831" w14:textId="3E005F5B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 xml:space="preserve">N_t = Numărul de </w:t>
            </w:r>
            <w:r w:rsidR="00C2056A" w:rsidRPr="00101FDB">
              <w:rPr>
                <w:color w:val="000000"/>
                <w:lang w:val="ro-RO"/>
              </w:rPr>
              <w:t>ședințe ale consiliului de administrație (supraveghere)</w:t>
            </w:r>
            <w:r w:rsidRPr="00101FDB">
              <w:rPr>
                <w:color w:val="000000"/>
                <w:lang w:val="ro-RO"/>
              </w:rPr>
              <w:t>_t</w:t>
            </w:r>
          </w:p>
        </w:tc>
      </w:tr>
      <w:tr w:rsidR="00F84264" w:rsidRPr="00101FDB" w14:paraId="40FBC42E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AB324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74C23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Stabilirea politicilor de gestionare a riscurilor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0AF4F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Confirmarea stabilirii politicilor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24650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DA/NU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03205" w14:textId="77777777" w:rsidR="00AF261A" w:rsidRPr="00101FDB" w:rsidRDefault="00AF261A" w:rsidP="009103B6">
            <w:pPr>
              <w:rPr>
                <w:color w:val="000000"/>
                <w:lang w:val="ro-RO"/>
              </w:rPr>
            </w:pPr>
          </w:p>
        </w:tc>
      </w:tr>
      <w:tr w:rsidR="00F84264" w:rsidRPr="00101FDB" w14:paraId="78F3F2DF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1F4CD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91905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bookmarkStart w:id="2" w:name="_Hlk208569877"/>
            <w:r w:rsidRPr="00101FDB">
              <w:rPr>
                <w:color w:val="000000"/>
                <w:lang w:val="ro-RO"/>
              </w:rPr>
              <w:t>Rata membrilor de sex feminin în consiliul de administrație</w:t>
            </w:r>
            <w:bookmarkEnd w:id="2"/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17F4E" w14:textId="343173EE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 xml:space="preserve">Numărul </w:t>
            </w:r>
            <w:r w:rsidR="0011368C" w:rsidRPr="00101FDB">
              <w:rPr>
                <w:color w:val="000000"/>
                <w:lang w:val="ro-RO"/>
              </w:rPr>
              <w:t>membrilor de sex feminin</w:t>
            </w:r>
            <w:r w:rsidRPr="00101FDB">
              <w:rPr>
                <w:color w:val="000000"/>
                <w:lang w:val="ro-RO"/>
              </w:rPr>
              <w:t xml:space="preserve"> </w:t>
            </w:r>
            <w:r w:rsidR="0011368C" w:rsidRPr="00101FDB">
              <w:rPr>
                <w:color w:val="000000"/>
                <w:lang w:val="ro-RO"/>
              </w:rPr>
              <w:t>din cadrul consiliului de administrație (supravegehre)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D8670" w14:textId="77777777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%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B5762" w14:textId="1455A208" w:rsidR="00AF261A" w:rsidRPr="00101FDB" w:rsidRDefault="0042411E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>Rata membrilor de sex feminin în consiliul de administrație</w:t>
            </w:r>
            <w:r w:rsidRPr="00101FDB" w:rsidDel="0042411E">
              <w:rPr>
                <w:color w:val="000000"/>
                <w:lang w:val="ro-RO"/>
              </w:rPr>
              <w:t xml:space="preserve"> </w:t>
            </w:r>
            <w:r w:rsidR="00AF261A" w:rsidRPr="00101FDB">
              <w:rPr>
                <w:color w:val="000000"/>
                <w:lang w:val="ro-RO"/>
              </w:rPr>
              <w:t xml:space="preserve">_t = Numărul </w:t>
            </w:r>
            <w:r w:rsidR="0011368C" w:rsidRPr="00101FDB">
              <w:rPr>
                <w:color w:val="000000"/>
                <w:lang w:val="ro-RO"/>
              </w:rPr>
              <w:t xml:space="preserve">membrilor de sex feminin </w:t>
            </w:r>
            <w:r w:rsidR="00AF261A" w:rsidRPr="00101FDB">
              <w:rPr>
                <w:color w:val="000000"/>
                <w:lang w:val="ro-RO"/>
              </w:rPr>
              <w:t>care ocupă poziți</w:t>
            </w:r>
            <w:r w:rsidRPr="00101FDB">
              <w:rPr>
                <w:color w:val="000000"/>
                <w:lang w:val="ro-RO"/>
              </w:rPr>
              <w:t>a</w:t>
            </w:r>
            <w:r w:rsidR="00AF261A" w:rsidRPr="00101FDB">
              <w:rPr>
                <w:color w:val="000000"/>
                <w:lang w:val="ro-RO"/>
              </w:rPr>
              <w:t xml:space="preserve"> </w:t>
            </w:r>
            <w:r w:rsidR="0011368C" w:rsidRPr="00101FDB">
              <w:rPr>
                <w:color w:val="000000"/>
                <w:lang w:val="ro-RO"/>
              </w:rPr>
              <w:t xml:space="preserve">- </w:t>
            </w:r>
            <w:r w:rsidR="00F742BC" w:rsidRPr="00101FDB">
              <w:rPr>
                <w:color w:val="000000"/>
                <w:lang w:val="ro-RO"/>
              </w:rPr>
              <w:t>de membru în consiliul de administrație  (supraveghere)</w:t>
            </w:r>
            <w:r w:rsidR="00F742BC" w:rsidRPr="00101FDB" w:rsidDel="00F742BC">
              <w:rPr>
                <w:color w:val="000000"/>
                <w:lang w:val="ro-RO"/>
              </w:rPr>
              <w:t xml:space="preserve"> </w:t>
            </w:r>
            <w:r w:rsidR="00AF261A" w:rsidRPr="00101FDB">
              <w:rPr>
                <w:color w:val="000000"/>
                <w:lang w:val="ro-RO"/>
              </w:rPr>
              <w:t xml:space="preserve">_t/Numărul total </w:t>
            </w:r>
            <w:r w:rsidR="0083151B" w:rsidRPr="00101FDB">
              <w:rPr>
                <w:color w:val="000000"/>
                <w:lang w:val="ro-RO"/>
              </w:rPr>
              <w:t xml:space="preserve">al membrilor </w:t>
            </w:r>
            <w:r w:rsidR="0011368C" w:rsidRPr="00101FDB">
              <w:rPr>
                <w:color w:val="000000"/>
                <w:lang w:val="ro-RO"/>
              </w:rPr>
              <w:t>di</w:t>
            </w:r>
            <w:r w:rsidR="0083151B" w:rsidRPr="00101FDB">
              <w:rPr>
                <w:color w:val="000000"/>
                <w:lang w:val="ro-RO"/>
              </w:rPr>
              <w:t>n consiliul de administrație (supraveghere)</w:t>
            </w:r>
            <w:r w:rsidR="0083151B" w:rsidRPr="00101FDB" w:rsidDel="0083151B">
              <w:rPr>
                <w:color w:val="000000"/>
                <w:lang w:val="ro-RO"/>
              </w:rPr>
              <w:t xml:space="preserve"> </w:t>
            </w:r>
            <w:r w:rsidR="00AF261A" w:rsidRPr="00101FDB">
              <w:rPr>
                <w:color w:val="000000"/>
                <w:lang w:val="ro-RO"/>
              </w:rPr>
              <w:t>_t</w:t>
            </w:r>
            <w:r w:rsidR="0083151B" w:rsidRPr="00101FDB">
              <w:rPr>
                <w:color w:val="000000"/>
                <w:lang w:val="ro-RO"/>
              </w:rPr>
              <w:t xml:space="preserve"> *100</w:t>
            </w:r>
          </w:p>
        </w:tc>
      </w:tr>
      <w:tr w:rsidR="00F84264" w:rsidRPr="00101FDB" w14:paraId="53D1041B" w14:textId="77777777" w:rsidTr="00ED70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95A46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8F808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04B7B" w14:textId="3435D54A" w:rsidR="00AF261A" w:rsidRPr="00101FDB" w:rsidRDefault="00AF261A" w:rsidP="009103B6">
            <w:pPr>
              <w:pStyle w:val="spar1"/>
              <w:rPr>
                <w:color w:val="000000"/>
                <w:lang w:val="ro-RO"/>
              </w:rPr>
            </w:pPr>
            <w:r w:rsidRPr="00101FDB">
              <w:rPr>
                <w:color w:val="000000"/>
                <w:lang w:val="ro-RO"/>
              </w:rPr>
              <w:t xml:space="preserve">Numărul total de </w:t>
            </w:r>
            <w:r w:rsidR="0011368C" w:rsidRPr="00101FDB">
              <w:rPr>
                <w:color w:val="000000"/>
                <w:lang w:val="ro-RO"/>
              </w:rPr>
              <w:t xml:space="preserve"> al membrilor din consiliul de administrație (supraveghere) 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CA232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3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74363" w14:textId="77777777" w:rsidR="00AF261A" w:rsidRPr="00101FDB" w:rsidRDefault="00AF261A" w:rsidP="009103B6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  <w:lang w:val="ro-RO"/>
              </w:rPr>
            </w:pPr>
          </w:p>
        </w:tc>
      </w:tr>
    </w:tbl>
    <w:p w14:paraId="3D5DD8C6" w14:textId="77777777" w:rsidR="00AF261A" w:rsidRPr="00101FDB" w:rsidRDefault="00AF261A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6DA6978" w14:textId="77777777" w:rsidR="00AF261A" w:rsidRPr="00101FDB" w:rsidRDefault="00AF261A" w:rsidP="00AF261A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101FDB">
        <w:rPr>
          <w:rFonts w:ascii="Times New Roman" w:eastAsia="Times New Roman" w:hAnsi="Times New Roman"/>
          <w:sz w:val="24"/>
          <w:szCs w:val="24"/>
          <w:lang w:val="ro-RO"/>
        </w:rPr>
        <w:t>Indicatori necomerciali</w:t>
      </w:r>
    </w:p>
    <w:p w14:paraId="67844B9E" w14:textId="77777777" w:rsidR="00AF261A" w:rsidRPr="00101FDB" w:rsidRDefault="00AF261A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570"/>
        <w:gridCol w:w="2126"/>
        <w:gridCol w:w="992"/>
        <w:gridCol w:w="3988"/>
      </w:tblGrid>
      <w:tr w:rsidR="00AF261A" w:rsidRPr="00101FDB" w14:paraId="76E3F41E" w14:textId="77777777" w:rsidTr="00ED70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5FAA5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Crearea de locuri de muncă</w:t>
            </w:r>
          </w:p>
          <w:p w14:paraId="3781F6A6" w14:textId="77777777" w:rsidR="00ED7005" w:rsidRPr="00101FDB" w:rsidRDefault="00ED7005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</w:p>
        </w:tc>
        <w:tc>
          <w:tcPr>
            <w:tcW w:w="2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01899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Număr echivalent normă întreagă de angajați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C5457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Numărul total de ore lucrătoare pentru toți angajații conform contract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C4E46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Număr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37D89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Numărul de angajați cu echivalent normă întreagă_t = Numărul total de ore lucrătoare pentru toți angajații conform contract_t/Numărul de ore lucrătoare pentru un angajat care lucrează cu normă întreagă_t</w:t>
            </w:r>
          </w:p>
        </w:tc>
      </w:tr>
      <w:tr w:rsidR="00AF261A" w:rsidRPr="00101FDB" w14:paraId="19AE6133" w14:textId="77777777" w:rsidTr="00ED70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90CC6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</w:p>
        </w:tc>
        <w:tc>
          <w:tcPr>
            <w:tcW w:w="2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BD4BB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CEABD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Numărul de ore lucrătoare pentru un angajat care lucrează cu normă întreagă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64893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</w:p>
        </w:tc>
        <w:tc>
          <w:tcPr>
            <w:tcW w:w="3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B093E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</w:p>
        </w:tc>
      </w:tr>
      <w:tr w:rsidR="00AF261A" w:rsidRPr="00101FDB" w14:paraId="54F2117E" w14:textId="77777777" w:rsidTr="00ED70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3948E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6D9D0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Noi locuri de muncă adăugate în cursul anului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ECC50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Numărul de angajați cu echivalent normă întreagă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10B68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Număr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F4F4D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</w:p>
        </w:tc>
      </w:tr>
      <w:tr w:rsidR="00AF261A" w:rsidRPr="00101FDB" w14:paraId="7A16E196" w14:textId="77777777" w:rsidTr="00ED70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5E46A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8A7F3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FEF44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Numărul de angajați cu echivalent normă întreagă la t-1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AE350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F4537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Numărul de noi locuri de muncă adăugate pe parcursul anului_t</w:t>
            </w:r>
          </w:p>
          <w:p w14:paraId="214EF798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= Numărul de angajați cu echivalent normă întreagă_t</w:t>
            </w:r>
          </w:p>
          <w:p w14:paraId="6D7D46ED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- Numărul de angajați cu echivalent normă întreagă_t-1</w:t>
            </w:r>
          </w:p>
        </w:tc>
      </w:tr>
      <w:tr w:rsidR="00AF261A" w:rsidRPr="00101FDB" w14:paraId="4A7DB6B1" w14:textId="77777777" w:rsidTr="00ED70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9427C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866C9" w14:textId="057D47A6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Numărul de angajați cu handicap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21C3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Numărul de angajați cu handicap recunoscute administrativ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7E92A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Număr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8DA5B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Numărul de angajați cu handicap_t = Numărul de angajați cu handicap recunoscute administrativ_t</w:t>
            </w:r>
          </w:p>
        </w:tc>
      </w:tr>
      <w:tr w:rsidR="000D70BD" w:rsidRPr="00101FDB" w14:paraId="7E864FAC" w14:textId="77777777" w:rsidTr="00ED70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671DA" w14:textId="77777777" w:rsidR="000D70BD" w:rsidRPr="00101FDB" w:rsidRDefault="000D70BD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Egalitatea de gen</w:t>
            </w:r>
          </w:p>
        </w:tc>
        <w:tc>
          <w:tcPr>
            <w:tcW w:w="2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A91F5" w14:textId="77777777" w:rsidR="000D70BD" w:rsidRPr="00101FDB" w:rsidRDefault="000D70BD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bookmarkStart w:id="3" w:name="_Hlk208569965"/>
            <w:r w:rsidRPr="00101FDB">
              <w:rPr>
                <w:rFonts w:eastAsia="Times New Roman"/>
                <w:sz w:val="16"/>
                <w:lang w:val="ro-RO"/>
              </w:rPr>
              <w:t>Rata cadrelor superioare de conducere de sex feminin</w:t>
            </w:r>
            <w:bookmarkEnd w:id="3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E5512" w14:textId="24EC5B51" w:rsidR="000D70BD" w:rsidRPr="00101FDB" w:rsidRDefault="000D70BD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Numărul directorilor de sex feminin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2710D" w14:textId="77777777" w:rsidR="000D70BD" w:rsidRPr="00101FDB" w:rsidRDefault="000D70BD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%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6A7CD92" w14:textId="072884A9" w:rsidR="000D70BD" w:rsidRPr="00101FDB" w:rsidRDefault="000D70BD" w:rsidP="00AF261A">
            <w:pPr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Rata cadrelor superioare de conducere de sex feminin_t = Numărul directorilor de sex feminin_t/Numărul total al directorilor</w:t>
            </w:r>
            <w:r w:rsidRPr="00101FDB" w:rsidDel="000D70BD">
              <w:rPr>
                <w:rFonts w:eastAsia="Times New Roman"/>
                <w:sz w:val="16"/>
                <w:lang w:val="ro-RO"/>
              </w:rPr>
              <w:t xml:space="preserve"> </w:t>
            </w:r>
            <w:r w:rsidRPr="00101FDB">
              <w:rPr>
                <w:rFonts w:eastAsia="Times New Roman"/>
                <w:sz w:val="16"/>
                <w:lang w:val="ro-RO"/>
              </w:rPr>
              <w:t>_t *100</w:t>
            </w:r>
          </w:p>
        </w:tc>
      </w:tr>
      <w:tr w:rsidR="000D70BD" w:rsidRPr="00101FDB" w14:paraId="751E3665" w14:textId="77777777" w:rsidTr="00ED70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B806F" w14:textId="77777777" w:rsidR="000D70BD" w:rsidRPr="00101FDB" w:rsidRDefault="000D70BD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</w:p>
        </w:tc>
        <w:tc>
          <w:tcPr>
            <w:tcW w:w="2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ADB0C" w14:textId="77777777" w:rsidR="000D70BD" w:rsidRPr="00101FDB" w:rsidRDefault="000D70BD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22218" w14:textId="1FE9DCE9" w:rsidR="000D70BD" w:rsidRPr="00101FDB" w:rsidRDefault="000D70BD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Numărul total al directorilo</w:t>
            </w:r>
            <w:r w:rsidRPr="00101FDB">
              <w:rPr>
                <w:rFonts w:eastAsia="Times New Roman"/>
                <w:i/>
                <w:iCs/>
                <w:sz w:val="16"/>
                <w:lang w:val="ro-RO"/>
              </w:rPr>
              <w:t>r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2CF2D" w14:textId="77777777" w:rsidR="000D70BD" w:rsidRPr="00101FDB" w:rsidRDefault="000D70BD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</w:p>
        </w:tc>
        <w:tc>
          <w:tcPr>
            <w:tcW w:w="39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2F718" w14:textId="40CD0EAD" w:rsidR="000D70BD" w:rsidRPr="00101FDB" w:rsidRDefault="000D70BD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</w:p>
        </w:tc>
      </w:tr>
      <w:tr w:rsidR="00AF261A" w:rsidRPr="00101FDB" w14:paraId="7BA81D4E" w14:textId="77777777" w:rsidTr="00ED70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9C95D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</w:p>
        </w:tc>
        <w:tc>
          <w:tcPr>
            <w:tcW w:w="2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EB440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Diferența de remunerare între angajații de sex feminin și cei de sex masculin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5CF51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Salariul mediu lunar al angajaților de sex masculin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F4EFC" w14:textId="77777777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>%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FD6E" w14:textId="1F014DE8" w:rsidR="00AF261A" w:rsidRPr="00101FDB" w:rsidRDefault="00AF261A" w:rsidP="00AF261A">
            <w:pPr>
              <w:autoSpaceDE/>
              <w:autoSpaceDN/>
              <w:rPr>
                <w:rFonts w:eastAsia="Times New Roman"/>
                <w:sz w:val="16"/>
                <w:lang w:val="ro-RO"/>
              </w:rPr>
            </w:pPr>
            <w:r w:rsidRPr="00101FDB">
              <w:rPr>
                <w:rFonts w:eastAsia="Times New Roman"/>
                <w:sz w:val="16"/>
                <w:lang w:val="ro-RO"/>
              </w:rPr>
              <w:t xml:space="preserve">Rata diferenței de remunerare între angajații de sex feminin și cei de sex masculin_t = </w:t>
            </w:r>
            <w:r w:rsidR="00C805B6" w:rsidRPr="00101FDB">
              <w:rPr>
                <w:rFonts w:eastAsia="Times New Roman"/>
                <w:sz w:val="16"/>
                <w:lang w:val="ro-RO"/>
              </w:rPr>
              <w:t>(</w:t>
            </w:r>
            <w:r w:rsidRPr="00101FDB">
              <w:rPr>
                <w:rFonts w:eastAsia="Times New Roman"/>
                <w:sz w:val="16"/>
                <w:lang w:val="ro-RO"/>
              </w:rPr>
              <w:t>Salariul mediu lunar al angajaților de sex masculin_t – Salariul mediu lunar al angajaților de sex feminin_t/Salariul mediu lunar al angajaților de sex masculin_t</w:t>
            </w:r>
            <w:r w:rsidR="00C805B6" w:rsidRPr="00101FDB">
              <w:rPr>
                <w:rFonts w:eastAsia="Times New Roman"/>
                <w:sz w:val="16"/>
                <w:lang w:val="ro-RO"/>
              </w:rPr>
              <w:t>) *100</w:t>
            </w:r>
          </w:p>
        </w:tc>
      </w:tr>
      <w:tr w:rsidR="00AF261A" w:rsidRPr="00101FDB" w14:paraId="7DC0C6AF" w14:textId="77777777" w:rsidTr="00ED70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929F3" w14:textId="77777777" w:rsidR="00AF261A" w:rsidRPr="00101FDB" w:rsidRDefault="00AF261A" w:rsidP="00AF261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B4FC7" w14:textId="77777777" w:rsidR="00AF261A" w:rsidRPr="00101FDB" w:rsidRDefault="00AF261A" w:rsidP="00AF261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072EA" w14:textId="77777777" w:rsidR="00AF261A" w:rsidRPr="00101FDB" w:rsidRDefault="00AF261A" w:rsidP="00AF261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01FD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Salariul mediu lunar al angajaților de sex feminin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54AF5" w14:textId="77777777" w:rsidR="00AF261A" w:rsidRPr="00101FDB" w:rsidRDefault="00AF261A" w:rsidP="00AF261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96B94" w14:textId="77777777" w:rsidR="00AF261A" w:rsidRPr="00101FDB" w:rsidRDefault="00AF261A" w:rsidP="00AF261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4D2C869B" w14:textId="77777777" w:rsidR="00AF261A" w:rsidRPr="00101FDB" w:rsidRDefault="00AF261A" w:rsidP="00AF261A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AF261A" w:rsidRPr="00101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D1558" w14:textId="77777777" w:rsidR="00FF5A5A" w:rsidRDefault="00FF5A5A" w:rsidP="002A30BB">
      <w:r>
        <w:separator/>
      </w:r>
    </w:p>
  </w:endnote>
  <w:endnote w:type="continuationSeparator" w:id="0">
    <w:p w14:paraId="7B221522" w14:textId="77777777" w:rsidR="00FF5A5A" w:rsidRDefault="00FF5A5A" w:rsidP="002A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E59B" w14:textId="77777777" w:rsidR="002A30BB" w:rsidRDefault="002A3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890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B007C" w14:textId="01DAE4F1" w:rsidR="002A30BB" w:rsidRDefault="002A3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E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4D765C" w14:textId="77777777" w:rsidR="002A30BB" w:rsidRDefault="002A30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67B3" w14:textId="77777777" w:rsidR="002A30BB" w:rsidRDefault="002A3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CD9A" w14:textId="77777777" w:rsidR="00FF5A5A" w:rsidRDefault="00FF5A5A" w:rsidP="002A30BB">
      <w:r>
        <w:separator/>
      </w:r>
    </w:p>
  </w:footnote>
  <w:footnote w:type="continuationSeparator" w:id="0">
    <w:p w14:paraId="55664614" w14:textId="77777777" w:rsidR="00FF5A5A" w:rsidRDefault="00FF5A5A" w:rsidP="002A3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C90A" w14:textId="77777777" w:rsidR="002A30BB" w:rsidRDefault="002A3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A682" w14:textId="77777777" w:rsidR="002A30BB" w:rsidRDefault="002A30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3037" w14:textId="77777777" w:rsidR="002A30BB" w:rsidRDefault="002A30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HyphenateCaps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1A"/>
    <w:rsid w:val="0007087A"/>
    <w:rsid w:val="00087DA5"/>
    <w:rsid w:val="000B187D"/>
    <w:rsid w:val="000D70BD"/>
    <w:rsid w:val="00100EE4"/>
    <w:rsid w:val="00101FDB"/>
    <w:rsid w:val="0011368C"/>
    <w:rsid w:val="001D6C1D"/>
    <w:rsid w:val="001E570B"/>
    <w:rsid w:val="001F7BC3"/>
    <w:rsid w:val="0023314A"/>
    <w:rsid w:val="002448D2"/>
    <w:rsid w:val="002A30BB"/>
    <w:rsid w:val="002A7A5B"/>
    <w:rsid w:val="002D35CE"/>
    <w:rsid w:val="002F241E"/>
    <w:rsid w:val="003B62E1"/>
    <w:rsid w:val="003C1613"/>
    <w:rsid w:val="00414D5A"/>
    <w:rsid w:val="0042411E"/>
    <w:rsid w:val="004303A7"/>
    <w:rsid w:val="004D0601"/>
    <w:rsid w:val="0054712D"/>
    <w:rsid w:val="00554706"/>
    <w:rsid w:val="0059223D"/>
    <w:rsid w:val="00673D8C"/>
    <w:rsid w:val="00694C45"/>
    <w:rsid w:val="006A47DE"/>
    <w:rsid w:val="006B3E47"/>
    <w:rsid w:val="006F5CB6"/>
    <w:rsid w:val="00796E48"/>
    <w:rsid w:val="007D1EAD"/>
    <w:rsid w:val="00800D41"/>
    <w:rsid w:val="0083151B"/>
    <w:rsid w:val="008533FC"/>
    <w:rsid w:val="00886979"/>
    <w:rsid w:val="008A1A54"/>
    <w:rsid w:val="008F020B"/>
    <w:rsid w:val="009103B6"/>
    <w:rsid w:val="009608C0"/>
    <w:rsid w:val="009C6743"/>
    <w:rsid w:val="009C6A23"/>
    <w:rsid w:val="00A51838"/>
    <w:rsid w:val="00AF261A"/>
    <w:rsid w:val="00B21278"/>
    <w:rsid w:val="00C2056A"/>
    <w:rsid w:val="00C2498C"/>
    <w:rsid w:val="00C805B6"/>
    <w:rsid w:val="00CD726A"/>
    <w:rsid w:val="00D05BFE"/>
    <w:rsid w:val="00D12853"/>
    <w:rsid w:val="00D63B28"/>
    <w:rsid w:val="00DB57D1"/>
    <w:rsid w:val="00DC110E"/>
    <w:rsid w:val="00ED7005"/>
    <w:rsid w:val="00F01D8F"/>
    <w:rsid w:val="00F058B3"/>
    <w:rsid w:val="00F742BC"/>
    <w:rsid w:val="00F84264"/>
    <w:rsid w:val="00FA3B89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97598"/>
  <w15:chartTrackingRefBased/>
  <w15:docId w15:val="{A0B79817-F90D-41EB-8E89-72B30C5E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paragraph" w:customStyle="1" w:styleId="spar3">
    <w:name w:val="s_par3"/>
    <w:basedOn w:val="Normal"/>
    <w:pPr>
      <w:autoSpaceDE/>
      <w:autoSpaceDN/>
    </w:pPr>
    <w:rPr>
      <w:rFonts w:eastAsiaTheme="minorEastAsia"/>
      <w:i/>
      <w:iCs/>
      <w:sz w:val="15"/>
      <w:szCs w:val="15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hdr1">
    <w:name w:val="s_hdr1"/>
    <w:basedOn w:val="DefaultParagraphFont"/>
    <w:rPr>
      <w:rFonts w:ascii="Verdana" w:hAnsi="Verdana" w:hint="default"/>
      <w:b/>
      <w:bCs/>
      <w:vanish w:val="0"/>
      <w:webHidden w:val="0"/>
      <w:color w:val="333333"/>
      <w:sz w:val="20"/>
      <w:szCs w:val="20"/>
      <w:shd w:val="clear" w:color="auto" w:fill="FFFFFF"/>
      <w:specVanish w:val="0"/>
    </w:rPr>
  </w:style>
  <w:style w:type="character" w:customStyle="1" w:styleId="spar4">
    <w:name w:val="s_par4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2A30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0BB"/>
    <w:rPr>
      <w:rFonts w:ascii="Verdana" w:eastAsia="Verdana" w:hAnsi="Verdana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2A30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0BB"/>
    <w:rPr>
      <w:rFonts w:ascii="Verdana" w:eastAsia="Verdana" w:hAnsi="Verdana"/>
      <w:sz w:val="18"/>
      <w:szCs w:val="16"/>
    </w:rPr>
  </w:style>
  <w:style w:type="paragraph" w:styleId="Revision">
    <w:name w:val="Revision"/>
    <w:hidden/>
    <w:uiPriority w:val="99"/>
    <w:semiHidden/>
    <w:rsid w:val="002D35CE"/>
    <w:rPr>
      <w:rFonts w:ascii="Verdana" w:eastAsia="Verdana" w:hAnsi="Verdana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3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B89"/>
    <w:rPr>
      <w:rFonts w:ascii="Verdana" w:eastAsia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B89"/>
    <w:rPr>
      <w:rFonts w:ascii="Verdana" w:eastAsia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7D1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D1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928C4-518C-4F17-9756-BC7A8ACC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NORME METODOLOGICE din 27 iulie 2023</vt:lpstr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METODOLOGICE din 27 iulie 2023</dc:title>
  <dc:subject/>
  <dc:creator>Mari</dc:creator>
  <cp:keywords/>
  <dc:description/>
  <cp:lastModifiedBy>Amepip Amepip</cp:lastModifiedBy>
  <cp:revision>2</cp:revision>
  <cp:lastPrinted>2025-10-21T09:07:00Z</cp:lastPrinted>
  <dcterms:created xsi:type="dcterms:W3CDTF">2025-10-24T07:55:00Z</dcterms:created>
  <dcterms:modified xsi:type="dcterms:W3CDTF">2025-10-24T07:55:00Z</dcterms:modified>
</cp:coreProperties>
</file>